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6"/>
          <w:szCs w:val="36"/>
          <w:u w:val="none"/>
          <w:shd w:fill="auto" w:val="clear"/>
          <w:vertAlign w:val="baseline"/>
          <w:rtl w:val="0"/>
        </w:rPr>
        <w:t xml:space="preserve">ZONT LITE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GSM-термостат для дистанционного контроля и управления котлом системы отопления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 работы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Термостат автоматически управляет работой котла таким образом, чтобы в помещении сохранялась заданная температура. Он контролирует температуру в помещении, напряжение питания и оповещает владельца при падении температуры ниже установленного порога, аварии котла и пропадании напряжения питания. Команды управления и настройки, сигналы оповещения и данные мониторинга температуры передаются по GSM связи (Дозвон и СМС). Оповещение выполняется дозвоном на номер владельца термостата, при неудаче (не снял трубку, сб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росил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 недоступен) -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отправляется предупреждающее смс.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4552315" cy="3014345"/>
            <wp:effectExtent b="0" l="0" r="0" t="0"/>
            <wp:docPr id="1259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3014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Назначение контактов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114300" distT="114300" distL="114300" distR="114300">
            <wp:extent cx="4070668" cy="3548082"/>
            <wp:effectExtent b="0" l="0" r="0" t="0"/>
            <wp:docPr id="1257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0668" cy="35480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Техника безопасности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Подключение термостата к отопительному оборудованию и его настройка должны выполняться в точном соответствии с данной инструкцией, с соблюдением требований по технике безопасности и при обязательном участии квалифицированных специалистов компании-производителя отопительного котла.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Производитель не несет ответственности за любое повреждение, возникшее в результате неправильной установки и эксплуатации термостата, будь то повреждение отопительного котла или непосредственно самого установленного прибора.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Функциональные возможности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Управление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прибора отопления (Включение и Выключение нагрева);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Контроль измеряемой температуры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 датчику ZONT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Два предустановленных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режим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управления котл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ом: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Эк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оном» 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Комфорт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Защита системы отопления от замерзания (режим «Выключен +5º»);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Оповещение при падении текущей температуры ниже заданного порога;</w:t>
        <w:br w:type="textWrapping"/>
        <w:t xml:space="preserve">- Оповещение при аварии котла (при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выполнении соответствующего подключения)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  <w:br w:type="textWrapping"/>
        <w:t xml:space="preserve">- Оповещение при неисправности датчика температуры;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Оповещение при пропадании и восстановлении основного напряжения питания;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Технические характеристики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2.0" w:type="dxa"/>
        <w:jc w:val="left"/>
        <w:tblInd w:w="0.0" w:type="dxa"/>
        <w:tblLayout w:type="fixed"/>
        <w:tblLook w:val="0000"/>
      </w:tblPr>
      <w:tblGrid>
        <w:gridCol w:w="6345"/>
        <w:gridCol w:w="4087"/>
        <w:tblGridChange w:id="0">
          <w:tblGrid>
            <w:gridCol w:w="6345"/>
            <w:gridCol w:w="408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Напряжение питания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10-28В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Максимальный потребляемый ток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1000 мА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Вход для подключения сигнала «Авария котла»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шт.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Встроенное реле для управления прибором отопления (сухой контакт)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шт. (~ 220 В / = 24 В / 1000 мА)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Датчик температуры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Цифровой, DS18S20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Максимальная длина шлейфа с датчиками температуры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м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Температурный диапазон работы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-30 до +55 °С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Точность поддержания заданной температуры (гистерезис)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0,5°С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GSM-модем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Встроенный, 2G</w:t>
            </w:r>
          </w:p>
        </w:tc>
      </w:tr>
      <w:tr>
        <w:trPr>
          <w:trHeight w:val="140" w:hRule="atLeast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Частотные диапазоны GSM-модема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800, 900, 1800, 1900 МHz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GSM антенна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Встроенная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Энергонезависимая память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Встроенная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Резервное питание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Li-ion АКБ, 1020 mAh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службы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лет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Габаритные размеры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 х 86 х 33 мм.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Масса, не более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0,200 кг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Корпус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Пластик, крепление на любую поверхность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Комплект поставки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5427980" cy="2946367"/>
            <wp:effectExtent b="0" l="0" r="0" t="0"/>
            <wp:docPr id="1260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294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Подключение прибора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85c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85c6"/>
          <w:u w:val="none"/>
          <w:shd w:fill="auto" w:val="clear"/>
          <w:vertAlign w:val="baseline"/>
          <w:rtl w:val="0"/>
        </w:rPr>
        <w:t xml:space="preserve">Установка SIM-карты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 комплект поставки входит SIM-карта с нулевым балансом. Активируйте SIM-карту, пополнив баланс на сумму не менее 120 р.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 течении 5-ти дней зарегистрируйте SIM-карту. Это можно сделать дистанционно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телефону технической поддержки  8 800 550 5173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  <w:rtl w:val="0"/>
        </w:rPr>
        <w:t xml:space="preserve">Внимание! Незарегистрированные карты оператор блокирует.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2"/>
          <w:szCs w:val="22"/>
        </w:rPr>
        <w:drawing>
          <wp:inline distB="114300" distT="114300" distL="114300" distR="114300">
            <wp:extent cx="2034222" cy="2034222"/>
            <wp:effectExtent b="0" l="0" r="0" t="0"/>
            <wp:docPr id="1267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4222" cy="20342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3d85c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85c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85c6"/>
          <w:u w:val="none"/>
          <w:shd w:fill="auto" w:val="clear"/>
          <w:vertAlign w:val="baseline"/>
          <w:rtl w:val="0"/>
        </w:rPr>
        <w:t xml:space="preserve">Включение основного и резервного питания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ключите к прибору блок п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итания и вставьте его розетку 220 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2552349" cy="1796097"/>
            <wp:effectExtent b="0" l="0" r="0" t="0"/>
            <wp:docPr id="1261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2349" cy="1796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Вставьте в прибор аккумулятор резервного питания 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color w:val="0070c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2"/>
          <w:szCs w:val="22"/>
        </w:rPr>
        <w:drawing>
          <wp:inline distB="0" distT="0" distL="114300" distR="114300">
            <wp:extent cx="2548396" cy="2367597"/>
            <wp:effectExtent b="0" l="0" r="0" t="0"/>
            <wp:docPr id="125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8396" cy="23675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Красный индикатор должен гореть, а зеленый индикатор - мигать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0" distT="0" distL="114300" distR="114300">
            <wp:extent cx="1303655" cy="1761229"/>
            <wp:effectExtent b="0" l="0" r="0" t="0"/>
            <wp:docPr id="126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761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Назначение индикаторов: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Зеленый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качество связи (уровень GSM сигнала) в месте установки прибора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10092.0" w:type="dxa"/>
        <w:jc w:val="center"/>
        <w:tblLayout w:type="fixed"/>
        <w:tblLook w:val="0000"/>
      </w:tblPr>
      <w:tblGrid>
        <w:gridCol w:w="1783"/>
        <w:gridCol w:w="3480"/>
        <w:gridCol w:w="1680"/>
        <w:gridCol w:w="3149"/>
        <w:tblGridChange w:id="0">
          <w:tblGrid>
            <w:gridCol w:w="1783"/>
            <w:gridCol w:w="3480"/>
            <w:gridCol w:w="1680"/>
            <w:gridCol w:w="3149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вспышка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сигнала 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вспышки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сигнал хороший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вспышки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сигнал слабый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вспышки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сигнал отличный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Желтый индикатор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индикация команды от термостата на включение котла в режим нагрева;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Красный индикатор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индикация наличия напряжения питания.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85c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85c6"/>
          <w:u w:val="none"/>
          <w:shd w:fill="auto" w:val="clear"/>
          <w:vertAlign w:val="baseline"/>
          <w:rtl w:val="0"/>
        </w:rPr>
        <w:t xml:space="preserve">Подключение датчика температуры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2633029" cy="1738947"/>
            <wp:effectExtent b="0" l="0" r="0" t="0"/>
            <wp:docPr id="126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029" cy="17389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В комплект поставки входит проводной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датчик температуры DS18S20 в пластиковом корпусе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Датчик предназначен для управления прибором отопления по температуре воздуха внутри помещения.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Помните!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Удаленность датчика от термостата не может превышать 50 м.;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Нельзя прокладывать линию с датчиком в одном кабельном канале  с  силовыми цепями;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датчик действуют импульсные сетевые помехи.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85c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85c6"/>
          <w:u w:val="none"/>
          <w:shd w:fill="auto" w:val="clear"/>
          <w:vertAlign w:val="baseline"/>
          <w:rtl w:val="0"/>
        </w:rPr>
        <w:t xml:space="preserve">Подключение термостата к прибору отопления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управления прибором отопления у термостата предназначено встроенное реле, рассчитанное на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напряжение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220 В. Перекидные контакты реле выведены на 1,2 и 3 клемму термостата.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«Общий контакт»,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«Нормально замкнутый контакт»,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«Нормально разомкнутый контакт».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документации на котел, к которому подключается термостат ZONT, найдите разъем для внешнего термостата. Скорее всего, на нем будет перемычка. Чтобы убедиться, что это те самые клеммы попробуйте убрать перемычку - котел должен выключиться. При возвращении перемычки на место - котел должен включиться. Соблюдайте меры безопасности - на перемычках может быть напряжение 220В. Существуют котлы, в которых включение делается не замыканием, а размыканием клемм. В этом случае перемычки не будет.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b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2"/>
          <w:szCs w:val="22"/>
          <w:rtl w:val="0"/>
        </w:rPr>
        <w:t xml:space="preserve">Вариант подключения к котлу с перемычкой на клеммах комнатного термостата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4218305" cy="3476845"/>
            <wp:effectExtent b="0" l="0" r="0" t="0"/>
            <wp:docPr id="126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3476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b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2"/>
          <w:szCs w:val="22"/>
          <w:rtl w:val="0"/>
        </w:rPr>
        <w:t xml:space="preserve">Вариант подключения к котлу без перемычки на клеммах комнатного термостата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4275455" cy="3517480"/>
            <wp:effectExtent b="0" l="0" r="0" t="0"/>
            <wp:docPr id="1264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3517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  <w:rtl w:val="0"/>
        </w:rPr>
        <w:t xml:space="preserve">Внимание! Обязательно установите на котле максимальную температуру теплоносителя (мощность). Если это не сделать, то может возникнуть ситуация, когда мощности котла будет не хватать для поддержания заданной температуры.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85c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85c6"/>
          <w:u w:val="none"/>
          <w:shd w:fill="auto" w:val="clear"/>
          <w:vertAlign w:val="baseline"/>
          <w:rtl w:val="0"/>
        </w:rPr>
        <w:t xml:space="preserve">Подключение сигнала «Авария котла»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Для реализации функции информирования при Аварии котла у термостата предназначен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Вход «Авария»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Вариантов подключения два: прямое подключение к термостату и подключение через понижающее реле.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114300" distT="114300" distL="114300" distR="114300">
            <wp:extent cx="4032568" cy="2318239"/>
            <wp:effectExtent b="0" l="0" r="0" t="0"/>
            <wp:docPr id="1256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2568" cy="2318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4184968" cy="2359609"/>
            <wp:effectExtent b="0" l="0" r="0" t="0"/>
            <wp:docPr id="126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4968" cy="23596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Стартовая активация термостата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Для включения прибора в работу достаточно отправить смс команду активации с номера телефона, который будет использоваться для управления. Команда должна быть отправлена в течении 5-ти минут с момента включения питания, но не ранее чем прибор установит GSM-связь (зеленый индикатор будет гореть серией вспышек).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С телефона, который будет использоваться для управления термостатом на номер сим-карты термостата отправьте смс-команду Активации: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xxxxxxxxxxxx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телефон=+7хххххххххх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xxxxxxxxxxxx – 12-ти значный серийный номер термостата (указан на корпусе прибора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+7хххххххххх - номер телефона для управления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2"/>
          <w:szCs w:val="22"/>
          <w:rtl w:val="0"/>
        </w:rPr>
        <w:t xml:space="preserve">Задайте Пароль доступа 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2"/>
          <w:szCs w:val="22"/>
          <w:rtl w:val="0"/>
        </w:rPr>
        <w:t xml:space="preserve">разрешения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управления термостатом при дозвоне с других телефонов: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xxxxxxxxxxxx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пароль=ххххх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xxxxxxxxxxxx – 12-ти значный серийный номер термостата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хххх – пароль для управления с любого телефона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Настройка режимов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 умолчанию режимы работы термостата настроены следующим образом:</w:t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Times New Roman" w:cs="Times New Roman" w:eastAsia="Times New Roman" w:hAnsi="Times New Roman"/>
          <w:b w:val="1"/>
          <w:color w:val="3d85c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680.0" w:type="dxa"/>
        <w:jc w:val="left"/>
        <w:tblInd w:w="30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2055"/>
        <w:tblGridChange w:id="0">
          <w:tblGrid>
            <w:gridCol w:w="2625"/>
            <w:gridCol w:w="20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  <w:rtl w:val="0"/>
              </w:rPr>
              <w:t xml:space="preserve">эконом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  <w:rtl w:val="0"/>
              </w:rPr>
              <w:t xml:space="preserve">18 градусов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  <w:rtl w:val="0"/>
              </w:rPr>
              <w:t xml:space="preserve">комфорт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  <w:rtl w:val="0"/>
              </w:rPr>
              <w:t xml:space="preserve">21 градус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  <w:rtl w:val="0"/>
              </w:rPr>
              <w:t xml:space="preserve">выключен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d85c6"/>
                <w:sz w:val="32"/>
                <w:szCs w:val="32"/>
                <w:rtl w:val="0"/>
              </w:rPr>
              <w:t xml:space="preserve">5 градусов</w:t>
            </w:r>
          </w:p>
        </w:tc>
      </w:tr>
    </w:tbl>
    <w:p w:rsidR="00000000" w:rsidDel="00000000" w:rsidP="00000000" w:rsidRDefault="00000000" w:rsidRPr="00000000" w14:paraId="000000B8">
      <w:pPr>
        <w:jc w:val="left"/>
        <w:rPr>
          <w:rFonts w:ascii="Times New Roman" w:cs="Times New Roman" w:eastAsia="Times New Roman" w:hAnsi="Times New Roman"/>
          <w:b w:val="1"/>
          <w:color w:val="3d85c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2"/>
          <w:szCs w:val="22"/>
          <w:rtl w:val="0"/>
        </w:rPr>
        <w:t xml:space="preserve">При необходимости 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адайте  новые значения целевы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2"/>
          <w:szCs w:val="22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температур для режимов: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Режим эконом=хх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хх – новое значение целевой температуры)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Режим комфорт=хх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хх – новое значение целевой температуры)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Режим выключен=хх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хх – новое значение целевой температуры)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Настройка порог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 измеряемой температуры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Задайте  нижний порог измеряемой температуры для оповещения при значениях ниже: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Порог=хх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хх –значение нижнего порога температуры)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Настройка запроса баланса средств на SIM-карте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Задайте  код USSD для запроса баланса SIM карты, используемой в термостате: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USSD=ххxx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ххxx – код, соответствующий выбранному оператору связи)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(Обычно это не требуется. Для Мегафон, Билайн, МТС, ТЕЛЕ2 заданы стандартные USSD запросы)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Управление работой термостата с помощью СМС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25.0" w:type="dxa"/>
        <w:tblLayout w:type="fixed"/>
        <w:tblLook w:val="0000"/>
      </w:tblPr>
      <w:tblGrid>
        <w:gridCol w:w="3825"/>
        <w:gridCol w:w="3975"/>
        <w:gridCol w:w="3060"/>
        <w:tblGridChange w:id="0">
          <w:tblGrid>
            <w:gridCol w:w="3825"/>
            <w:gridCol w:w="3975"/>
            <w:gridCol w:w="30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SMS-команда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Ответ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xxxxxxxxxxxx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телефон=+7хххххххххх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где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70c0"/>
                <w:sz w:val="20"/>
                <w:szCs w:val="20"/>
                <w:rtl w:val="0"/>
              </w:rPr>
              <w:t xml:space="preserve">xxxxxxxxxxxx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12-ти значный серийный номер термостата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+7хххххххххх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 телефона для 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Стартовая настройка для активации работы термостата. Устанавливает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Доверенн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ый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телефона, с которого будут доступны команды управления и возможен доступ в «Голосовое меню» термостата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 телефона установлен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xxxxxxxxxxxx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пароль=ххххх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где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70c0"/>
                <w:sz w:val="20"/>
                <w:szCs w:val="20"/>
                <w:rtl w:val="0"/>
              </w:rPr>
              <w:t xml:space="preserve">xxxxxxxxxxxx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12-ти значный серийный номер термостата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хххх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пароль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управления с любого телефона (только цифры)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Команда установки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пароля для доступа к управлени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и «Голосово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меню» с любого телефона (не доверенного)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Пароль: хххх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Пароль=хххх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хххх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пароль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для управления с любого телефона (только цифры)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Команда установки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пароля для управления и доступа в «Голосовое меню» с любых телефонов..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(Команда в таком формате может быть отправлена только с доверенного номера)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Пароль: хххх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Пароль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Команда на запрос действующего пароля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Пароль: хххх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Режим эконом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Включение режима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Эконом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Включен режим Эконом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Режим эконом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Настройка и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ключение режима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Эконом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значение заданной температуры для этого режима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Включен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режим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Режим комфорт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Включение режима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Комфорт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Включен режим Комфорт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Режим комфорт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Настройка и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ключение режима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Комфорт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значение заданной температуры для этого режима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Включен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режим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омфорт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Режим выключен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Включение режима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Выключен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Включен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режим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ыключен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Режим выключен=хх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Настройка и включение режима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Выключен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– значение заданной температуры для этого режима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Включен режим Выключен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Режим=xx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Изменение заданной температуры для действующего режима работы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новое значение заданной температуры для действующего режима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Установлен режим хх гр.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Порог=хх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Ввод значения нижнего порога температуры, измеряемой датчиком.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–значение нижнего порога для контроля температуры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Нижний порог регулирующего датчика:хх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Порог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Запрос установленного значения нижнего порога для контроля температуры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  <w:rtl w:val="0"/>
              </w:rPr>
              <w:t xml:space="preserve">Нижний порог регулирующего датчика:хх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Баланс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Запрос баланса SIM карты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баланс SIM карты xxx рублей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Состояние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Запрос отчёта о работе котла и термостата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режим работы – 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ххххх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’, текущая температура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градусов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случае аварийного режима работы: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внимание! датчик температуры неисправен! система работает в аварийном режиме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USSD=xxx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Установка кода USSD запроса баланса SIM карты, используемой в термостате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USSD: xxx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USSD?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Запрос установленного кода USSD для SIM карты, используемой в термостате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USSD: xxx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xxxxxxxxxxxx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заводские установки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где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70c0"/>
                <w:sz w:val="20"/>
                <w:szCs w:val="20"/>
                <w:rtl w:val="0"/>
              </w:rPr>
              <w:t xml:space="preserve">xxxxxxxxxxxx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12-значный серийный номер термостата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Сброс номеров телефонов и пароля доступа. Настройки режимов работы и текущий режим работы не изменяются.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После сброса настроек к заводским установкам требуется повторная активация термостата.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выполнен сброс к заводским установкам.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Управление работой термостата через Голосовое меню (дозвон)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Голосового меню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47.5"/>
        <w:gridCol w:w="5547.5"/>
        <w:tblGridChange w:id="0">
          <w:tblGrid>
            <w:gridCol w:w="5547.5"/>
            <w:gridCol w:w="554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Вкл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ючить Режим Комфорт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клавиша 1 телефона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Включить Режим Эконом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клавиша 2 телефона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Включить Режим Выключен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клавиша 3 телефона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Узнать баланс SIM-карты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клавиша 5 телефона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Прослушать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справку голосового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информатора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клавиша * телефона (звездочка)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Повтор голосового информатора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клавиша # 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 (решетка)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Ресурс работы и гарантийный срок эксплуатации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Гарантийный срок составляет 12 месяцев с момента продажи устройства.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 службы (эксплуатации) составляет 5 лет.  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Прибор должен использоваться только в соответствии с руководством по эксплуатации.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Вышедшие из строя в течение гарантийного срока эксплуатации по вине завода-изготовителя составные части подлежат замене или ремонту силами предприятия-изготовителя или организации, осуществляющей комплексное обслуживание.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Ремонт и обслуживание прибора с истекшим гарантийным сроком осуществляется за счет средств потребителя по отдельным договорам между поставщиком/установщиком и потребителем.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Потребитель лишается права на гарантийное обслуживание в следующих случаях: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истечении гарантийного срока эксплуатации;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нарушении правил монтажа, эксплуатации, транспортирования и хранения;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механических, тепловых и иных повреждений, возникших в результате неправильной эксплуатации, небрежного отношения или несчастного случая;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неправильной установки, регулировки и эксплуатации прибора;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попадания внутрь посторонних предметов, жидкости, веществ, насекомых;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действия третьих лиц или непреодолимой силы (аварии, пожара, затопления, стихийных бедствий);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ремонта, внесения конструктивных изменений как самостоятельно, так и не уполномоченными на это лицами.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эффективного и безопасного использования срок эксплуатации</w:t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Производитель гарантирует соответствие прибора требованиям ТУ 4211-001-06100300-2017 при условии соблюдения требований, указанных в настоящем Руководстве по установке и эксплуатации.</w:t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хранения и транспортирования</w:t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Прибор допускается перевозить в транспортной таре различными видами транспорта в соответствии с действующими правилами перевозки грузов. </w:t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транспортирования - группа II по ГОСТ 15150 – 69 с ограничением воздействия пониженной температуры до - 40 ° С.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хранения на складах поставщика и потребителя - группа II по ГОСТ 15150 – 69 с ограничением воздействия пониженной температуры до - 40 ° С.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Производитель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«Микро Лайн» Россия, 607630, Нижегородская обл., Богородский р-он, п. Кудьма, ул. Заводская, строение 2, помещение 1</w:t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Тел/факс:  (831) 220-76-76,  Э/почта support@microline.ru </w:t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Служба технической поддержки 8-800-700-72-91</w:t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Производитель оставляет за собой право без уведомления потребителя вносить изменения в программное обеспечение, конструкцию и комплектацию изделий с целью улучшения их технических и эксплуатационных параметров. </w:t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Гарантийная мастерская</w:t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«Микро Лайн» Россия, 607630, Нижегородская обл., Богородский р-он, п. Кудьма, ул. Заводская, строение 2, помещение 1</w:t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Тел/факс:  (831) 220-76-76,  Э/почта support@microline.ru 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Служба технической поддержки 8-800-700-72-91</w:t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9" w:type="default"/>
      <w:pgSz w:h="16839" w:w="11907"/>
      <w:pgMar w:bottom="284" w:top="284" w:left="528" w:right="284" w:header="1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Helio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ios" w:cs="Helios" w:eastAsia="Helios" w:hAnsi="Helios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numPr>
        <w:ilvl w:val="5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4">
    <w:name w:val="Основной шрифт абзаца4"/>
    <w:next w:val="Основнойшрифтабзаца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3">
    <w:name w:val="Основной шрифт абзаца3"/>
    <w:next w:val="Основнойшрифтабзаца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2">
    <w:name w:val="Основной шрифт абзаца2"/>
    <w:next w:val="Основнойшрифтабзаца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Номерстраницы">
    <w:name w:val="Номер страницы"/>
    <w:basedOn w:val="Основнойшрифтабзаца1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Номерстроки">
    <w:name w:val="Номер строки"/>
    <w:basedOn w:val="Основнойшрифтабзаца1"/>
    <w:next w:val="Номерстрок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Знакпримечания1">
    <w:name w:val="Знак примечания1"/>
    <w:next w:val="Знакпримечания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just1">
    <w:name w:val="pjust1"/>
    <w:basedOn w:val="Основнойшрифтабзаца1"/>
    <w:next w:val="pjus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lue">
    <w:name w:val="blue"/>
    <w:basedOn w:val="Основнойшрифтабзаца1"/>
    <w:next w:val="bl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0">
    <w:name w:val="A0"/>
    <w:next w:val="A0"/>
    <w:autoRedefine w:val="0"/>
    <w:hidden w:val="0"/>
    <w:qFormat w:val="0"/>
    <w:rPr>
      <w:color w:val="000000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ЗаголовокЗнак">
    <w:name w:val="Заголовок Знак"/>
    <w:next w:val="ЗаголовокЗнак"/>
    <w:autoRedefine w:val="0"/>
    <w:hidden w:val="0"/>
    <w:qFormat w:val="0"/>
    <w:rPr>
      <w:rFonts w:ascii="Arial" w:cs="Arial" w:hAnsi="Arial"/>
      <w:b w:val="1"/>
      <w:bCs w:val="1"/>
      <w:color w:val="00008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Слабаяссылка">
    <w:name w:val="Слабая ссылка"/>
    <w:next w:val="Слабаяссылка"/>
    <w:autoRedefine w:val="0"/>
    <w:hidden w:val="0"/>
    <w:qFormat w:val="0"/>
    <w:rPr>
      <w:smallCaps w:val="1"/>
      <w:color w:val="c0504d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ильнаяссылка">
    <w:name w:val="Сильная ссылка"/>
    <w:next w:val="Сильнаяссылка"/>
    <w:autoRedefine w:val="0"/>
    <w:hidden w:val="0"/>
    <w:qFormat w:val="0"/>
    <w:rPr>
      <w:b w:val="1"/>
      <w:bCs w:val="1"/>
      <w:smallCaps w:val="1"/>
      <w:color w:val="c0504d"/>
      <w:spacing w:val="5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БезинтервалаЗнак">
    <w:name w:val="Без интервала Знак"/>
    <w:next w:val="БезинтервалаЗнак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Сильноевыделение">
    <w:name w:val="Сильное выделение"/>
    <w:next w:val="Сильноевыделение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СМСсообщение">
    <w:name w:val="СМС сообщение"/>
    <w:next w:val="СМСсообщение"/>
    <w:autoRedefine w:val="0"/>
    <w:hidden w:val="0"/>
    <w:qFormat w:val="0"/>
    <w:rPr>
      <w:rFonts w:ascii="Calibri" w:cs="Calibri" w:hAnsi="Calibri"/>
      <w:i w:val="1"/>
      <w:iCs w:val="1"/>
      <w:color w:val="4d9ed7"/>
      <w:w w:val="100"/>
      <w:position w:val="-1"/>
      <w:effect w:val="none"/>
      <w:vertAlign w:val="baseline"/>
      <w:cs w:val="0"/>
      <w:em w:val="none"/>
      <w:lang/>
    </w:rPr>
  </w:style>
  <w:style w:type="character" w:styleId="Внимание!">
    <w:name w:val="Внимание!"/>
    <w:next w:val="Внимание!"/>
    <w:autoRedefine w:val="0"/>
    <w:hidden w:val="0"/>
    <w:qFormat w:val="0"/>
    <w:rPr>
      <w:i w:val="1"/>
      <w:iCs w:val="1"/>
      <w:color w:val="b2284a"/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olor w:val="000080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ru-RU"/>
    </w:rPr>
  </w:style>
  <w:style w:type="paragraph" w:styleId="Название2">
    <w:name w:val="Название2"/>
    <w:basedOn w:val="Обычный"/>
    <w:next w:val="Название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4">
    <w:name w:val="Указатель4"/>
    <w:basedOn w:val="Обычный"/>
    <w:next w:val="Указатель4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3">
    <w:name w:val="Указатель3"/>
    <w:basedOn w:val="Обычный"/>
    <w:next w:val="Указатель3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азваниеобъекта2">
    <w:name w:val="Название объекта2"/>
    <w:basedOn w:val="Обычный"/>
    <w:next w:val="Названиеобъекта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2">
    <w:name w:val="Указатель2"/>
    <w:basedOn w:val="Обычный"/>
    <w:next w:val="Указатель2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азваниеобъекта1">
    <w:name w:val="Название объекта1"/>
    <w:basedOn w:val="Обычный"/>
    <w:next w:val="Названиеобъекта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0"/>
      <w:autoSpaceDE w:val="0"/>
      <w:spacing w:line="1" w:lineRule="atLeast"/>
      <w:ind w:left="709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color w:val="000000"/>
      <w:w w:val="100"/>
      <w:position w:val="-1"/>
      <w:sz w:val="18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сотступом21">
    <w:name w:val="Основной текст с отступом 21"/>
    <w:basedOn w:val="Обычный"/>
    <w:next w:val="Основнойтекстсотступом21"/>
    <w:autoRedefine w:val="0"/>
    <w:hidden w:val="0"/>
    <w:qFormat w:val="0"/>
    <w:pPr>
      <w:suppressAutoHyphens w:val="0"/>
      <w:autoSpaceDE w:val="0"/>
      <w:spacing w:line="1" w:lineRule="atLeast"/>
      <w:ind w:left="0" w:right="0" w:leftChars="-1" w:rightChars="0" w:firstLine="426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сотступом31">
    <w:name w:val="Основной текст с отступом 31"/>
    <w:basedOn w:val="Обычный"/>
    <w:next w:val="Основнойтекстсотступом31"/>
    <w:autoRedefine w:val="0"/>
    <w:hidden w:val="0"/>
    <w:qFormat w:val="0"/>
    <w:pPr>
      <w:suppressAutoHyphens w:val="0"/>
      <w:autoSpaceDE w:val="0"/>
      <w:spacing w:line="1" w:lineRule="atLeast"/>
      <w:ind w:left="0" w:right="0" w:leftChars="-1" w:rightChars="0" w:firstLine="426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21">
    <w:name w:val="Основной текст 21"/>
    <w:basedOn w:val="Обычный"/>
    <w:next w:val="Основнойтекст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31">
    <w:name w:val="Основной текст 31"/>
    <w:basedOn w:val="Обычный"/>
    <w:next w:val="Основнойтекст3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ru-RU"/>
    </w:rPr>
  </w:style>
  <w:style w:type="paragraph" w:styleId="Рисунки">
    <w:name w:val="Рисунки"/>
    <w:next w:val="Обычный"/>
    <w:autoRedefine w:val="0"/>
    <w:hidden w:val="0"/>
    <w:qFormat w:val="0"/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uppressAutoHyphens w:val="0"/>
      <w:autoSpaceDE w:val="0"/>
      <w:spacing w:line="1" w:lineRule="atLeast"/>
      <w:ind w:leftChars="-1" w:rightChars="0" w:firstLine="397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n-US"/>
    </w:rPr>
  </w:style>
  <w:style w:type="paragraph" w:styleId="Текстпримечания1">
    <w:name w:val="Текст примечания1"/>
    <w:basedOn w:val="Обычный"/>
    <w:next w:val="Текстпримечания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ru-RU"/>
    </w:rPr>
  </w:style>
  <w:style w:type="paragraph" w:styleId="Темапримечания">
    <w:name w:val="Тема примечания"/>
    <w:basedOn w:val="Текстпримечания1"/>
    <w:next w:val="Текстпримечания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ru-RU"/>
    </w:rPr>
  </w:style>
  <w:style w:type="paragraph" w:styleId="Схемадокумента1">
    <w:name w:val="Схема документа1"/>
    <w:basedOn w:val="Обычный"/>
    <w:next w:val="Схемадокумента1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ios" w:cs="Helios" w:eastAsia="Arial" w:hAnsi="Helio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Pa0">
    <w:name w:val="Pa0"/>
    <w:basedOn w:val="Normal"/>
    <w:next w:val="Normal"/>
    <w:autoRedefine w:val="0"/>
    <w:hidden w:val="0"/>
    <w:qFormat w:val="0"/>
    <w:pPr>
      <w:suppressAutoHyphens w:val="0"/>
      <w:autoSpaceDE w:val="0"/>
      <w:spacing w:line="241" w:lineRule="atLeast"/>
      <w:ind w:leftChars="-1" w:rightChars="0" w:firstLineChars="-1"/>
      <w:textDirection w:val="btLr"/>
      <w:textAlignment w:val="top"/>
      <w:outlineLvl w:val="0"/>
    </w:pPr>
    <w:rPr>
      <w:rFonts w:ascii="Helios" w:cs="Times New Roman" w:eastAsia="Arial" w:hAnsi="Helio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Голосовоеменю">
    <w:name w:val="Голосовое меню"/>
    <w:basedOn w:val="Обычный"/>
    <w:next w:val="Голосовоеменю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бычный1">
    <w:name w:val="Обычный1"/>
    <w:next w:val="Обычный1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ios" w:cs="Helios" w:eastAsia="Arial" w:hAnsi="Helio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Обычный11">
    <w:name w:val="Обычный11"/>
    <w:next w:val="Обычный11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ios" w:cs="Helios" w:eastAsia="Arial" w:hAnsi="Helio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ListParagraph">
    <w:name w:val="List Paragraph"/>
    <w:basedOn w:val="Обычный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Заголовок31">
    <w:name w:val="Заголовок 31"/>
    <w:basedOn w:val="Обычный"/>
    <w:next w:val="Обычный"/>
    <w:autoRedefine w:val="0"/>
    <w:hidden w:val="0"/>
    <w:qFormat w:val="0"/>
    <w:pPr>
      <w:numPr>
        <w:ilvl w:val="2"/>
        <w:numId w:val="13"/>
      </w:numPr>
      <w:shd w:color="auto" w:fill="ffffff" w:val="clear"/>
      <w:tabs>
        <w:tab w:val="left" w:leader="none" w:pos="0"/>
      </w:tabs>
      <w:suppressAutoHyphens w:val="1"/>
      <w:spacing w:after="28" w:before="28" w:line="100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11.jpg"/><Relationship Id="rId13" Type="http://schemas.openxmlformats.org/officeDocument/2006/relationships/image" Target="media/image4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image" Target="media/image2.jpg"/><Relationship Id="rId14" Type="http://schemas.openxmlformats.org/officeDocument/2006/relationships/image" Target="media/image1.jpg"/><Relationship Id="rId17" Type="http://schemas.openxmlformats.org/officeDocument/2006/relationships/image" Target="media/image10.jpg"/><Relationship Id="rId16" Type="http://schemas.openxmlformats.org/officeDocument/2006/relationships/image" Target="media/image8.jp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image" Target="media/image3.jpg"/><Relationship Id="rId7" Type="http://schemas.openxmlformats.org/officeDocument/2006/relationships/image" Target="media/image9.jpg"/><Relationship Id="rId8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aE8NNo/3Jqd2NudeFaXEbjU+w==">AMUW2mWmqfpQF2JqDMOD+i8EQKoaOp4ICn24Cm0elR3gIA6PLJPtoiG1SFgPrmucs9Gs0tsapd4oiollCc+tqz/vv25VqPMArjfbnCDHV4o4SfoIZnOukuxdVJ9cNfmmy4GS3tkXXwSk4VQglkqxuG5+SMQqj18byw==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2018-08-30T04:58:00Z</dcterms:created>
  <dc:creator>Andrey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